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1D5E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76A07264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04515EF7" w14:textId="77777777" w:rsidR="00047822" w:rsidRPr="00047822" w:rsidRDefault="00047822" w:rsidP="00047822"/>
    <w:p w14:paraId="40B4EE4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78266E70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567AB8E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252D63F1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595FEA0B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14:paraId="4FA28B80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14:paraId="29CE8FBC" w14:textId="16261E0F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A84FAF" w:rsidRPr="00A84FAF">
        <w:rPr>
          <w:rFonts w:ascii="Verdana" w:hAnsi="Verdana"/>
          <w:b/>
          <w:color w:val="000000" w:themeColor="text1"/>
          <w:sz w:val="20"/>
          <w:szCs w:val="20"/>
        </w:rPr>
        <w:t xml:space="preserve">OKI.Z-1.2431.7.2025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14:paraId="746CD7CA" w14:textId="60A17BC2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A60A4B" w:rsidRPr="00995039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tmaczynski@gddkia.gov.pl</w:t>
        </w:r>
      </w:hyperlink>
    </w:p>
    <w:p w14:paraId="0E9F5EF1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1309EF16" w14:textId="46ED6768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Zamawiający odrzuci ofertę Wykonawcy, w </w:t>
      </w:r>
      <w:r w:rsidR="004D4A48" w:rsidRPr="00047822">
        <w:rPr>
          <w:rFonts w:ascii="Verdana" w:hAnsi="Verdana"/>
          <w:sz w:val="20"/>
          <w:szCs w:val="20"/>
        </w:rPr>
        <w:t>szczególności,</w:t>
      </w:r>
      <w:r w:rsidRPr="00047822">
        <w:rPr>
          <w:rFonts w:ascii="Verdana" w:hAnsi="Verdana"/>
          <w:sz w:val="20"/>
          <w:szCs w:val="20"/>
        </w:rPr>
        <w:t xml:space="preserve"> jeżeli:</w:t>
      </w:r>
    </w:p>
    <w:p w14:paraId="7F25E6EB" w14:textId="77777777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0F885152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7BA47F3E" w14:textId="4C2B6738" w:rsidR="00047822" w:rsidRDefault="00284C4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 xml:space="preserve">) Oferta zawiera błędy w obliczeniu ceny </w:t>
      </w:r>
    </w:p>
    <w:p w14:paraId="70B26029" w14:textId="4B7A3D9B" w:rsidR="002B24D1" w:rsidRPr="00047822" w:rsidRDefault="00284C4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terminie.</w:t>
      </w:r>
    </w:p>
    <w:p w14:paraId="14F1E786" w14:textId="20398CD2" w:rsidR="002B24D1" w:rsidRPr="00A82BF3" w:rsidRDefault="00047822" w:rsidP="00A82BF3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A82BF3">
        <w:rPr>
          <w:rFonts w:ascii="Verdana" w:hAnsi="Verdana"/>
          <w:sz w:val="20"/>
          <w:szCs w:val="20"/>
        </w:rPr>
        <w:t xml:space="preserve"> </w:t>
      </w:r>
      <w:r w:rsidRPr="00A82BF3">
        <w:rPr>
          <w:rFonts w:ascii="Verdana" w:hAnsi="Verdana"/>
          <w:sz w:val="20"/>
          <w:szCs w:val="20"/>
        </w:rPr>
        <w:t>Wykonawcy zostaną wezwani do złożenia ofert dodatkowych.</w:t>
      </w:r>
    </w:p>
    <w:p w14:paraId="1F4BAF3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358C7E0F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69CCD313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065BA798" wp14:editId="053938F4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7BEA13CB" w14:textId="60E24F15" w:rsidR="00AD33CD" w:rsidRPr="00284C42" w:rsidRDefault="00047822" w:rsidP="00284C4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E065725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3449FEC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5C01E6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84C42"/>
    <w:rsid w:val="002B24D1"/>
    <w:rsid w:val="00321077"/>
    <w:rsid w:val="00350B6A"/>
    <w:rsid w:val="004D4A48"/>
    <w:rsid w:val="00556290"/>
    <w:rsid w:val="005C153C"/>
    <w:rsid w:val="00694ACD"/>
    <w:rsid w:val="006B24BF"/>
    <w:rsid w:val="006D6634"/>
    <w:rsid w:val="0087341C"/>
    <w:rsid w:val="008A086D"/>
    <w:rsid w:val="00915116"/>
    <w:rsid w:val="00932B0E"/>
    <w:rsid w:val="00A60A4B"/>
    <w:rsid w:val="00A82BF3"/>
    <w:rsid w:val="00A82D01"/>
    <w:rsid w:val="00A84E12"/>
    <w:rsid w:val="00A84FAF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F155B3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DD88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60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tmaczyn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Mączyński Tomasz</cp:lastModifiedBy>
  <cp:revision>2</cp:revision>
  <dcterms:created xsi:type="dcterms:W3CDTF">2025-12-17T08:08:00Z</dcterms:created>
  <dcterms:modified xsi:type="dcterms:W3CDTF">2025-12-17T08:08:00Z</dcterms:modified>
</cp:coreProperties>
</file>